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C57D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in;margin-top:-45pt;width:126pt;height:27pt;z-index:251652608" filled="f" stroked="f">
            <v:textbox style="mso-next-textbox:#_x0000_s1066">
              <w:txbxContent>
                <w:p w:rsidR="00752A8B" w:rsidRPr="00DE0825" w:rsidRDefault="00752A8B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Student Worksheet</w:t>
                  </w:r>
                </w:p>
                <w:p w:rsidR="00752A8B" w:rsidRPr="000D1534" w:rsidRDefault="00752A8B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1in;margin-top:0;width:558pt;height:45pt;z-index:251653632" fillcolor="#eaeaea" strokecolor="#969696" strokeweight="1pt">
            <v:textbox style="mso-next-textbox:#_x0000_s1069">
              <w:txbxContent>
                <w:p w:rsidR="00752A8B" w:rsidRDefault="00752A8B" w:rsidP="00DE082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52A8B" w:rsidRPr="006E5276" w:rsidRDefault="002B5FD8" w:rsidP="00A41CE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Practical 5:   Flame colours</w:t>
                  </w:r>
                </w:p>
                <w:p w:rsidR="00752A8B" w:rsidRPr="00DE0825" w:rsidRDefault="00752A8B" w:rsidP="000C5FE6"/>
              </w:txbxContent>
            </v:textbox>
          </v:shape>
        </w:pict>
      </w:r>
    </w:p>
    <w:p w:rsidR="00C821FC" w:rsidRDefault="00C57D05">
      <w:r>
        <w:rPr>
          <w:noProof/>
        </w:rPr>
        <w:pict>
          <v:shape id="_x0000_s1076" type="#_x0000_t202" style="position:absolute;margin-left:3in;margin-top:370.9pt;width:270pt;height:85.5pt;z-index:251660800" strokecolor="#969696" strokeweight="1pt">
            <v:textbox>
              <w:txbxContent>
                <w:p w:rsidR="00752A8B" w:rsidRPr="006E5276" w:rsidRDefault="007A7847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Analysis of results</w:t>
                  </w:r>
                </w:p>
                <w:p w:rsidR="002B5FD8" w:rsidRDefault="002B5FD8" w:rsidP="002B5FD8">
                  <w:pPr>
                    <w:numPr>
                      <w:ilvl w:val="0"/>
                      <w:numId w:val="3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 the colour of the flame in a table.</w:t>
                  </w:r>
                </w:p>
                <w:p w:rsidR="00752A8B" w:rsidRDefault="002B5FD8" w:rsidP="002B5FD8">
                  <w:pPr>
                    <w:numPr>
                      <w:ilvl w:val="0"/>
                      <w:numId w:val="3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 the colours you see and approximately how many lines</w:t>
                  </w:r>
                  <w:r w:rsidR="00DC54C0">
                    <w:rPr>
                      <w:rFonts w:ascii="Arial" w:hAnsi="Arial" w:cs="Arial"/>
                    </w:rPr>
                    <w:t>.</w:t>
                  </w:r>
                </w:p>
                <w:p w:rsidR="00752A8B" w:rsidRPr="006E5276" w:rsidRDefault="00752A8B" w:rsidP="006E527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752A8B" w:rsidRPr="006E5276" w:rsidRDefault="00752A8B" w:rsidP="006E527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3in;margin-top:258.4pt;width:270pt;height:105pt;z-index:251659776" strokecolor="#969696" strokeweight="1pt">
            <v:textbox style="mso-next-textbox:#_x0000_s1075">
              <w:txbxContent>
                <w:p w:rsidR="00752A8B" w:rsidRPr="006E5276" w:rsidRDefault="00752A8B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i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Data</w:t>
                  </w:r>
                </w:p>
                <w:p w:rsidR="00752A8B" w:rsidRDefault="002B5FD8" w:rsidP="002B5FD8">
                  <w:pPr>
                    <w:pStyle w:val="ListParagraph"/>
                    <w:numPr>
                      <w:ilvl w:val="0"/>
                      <w:numId w:val="32"/>
                    </w:numPr>
                    <w:spacing w:before="40" w:after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 spectroscope splits a colours into the individual colours that are mixed together to make that colour.</w:t>
                  </w:r>
                </w:p>
                <w:p w:rsidR="00DC54C0" w:rsidRPr="00DC54C0" w:rsidRDefault="00DC54C0" w:rsidP="00DC54C0">
                  <w:pPr>
                    <w:numPr>
                      <w:ilvl w:val="0"/>
                      <w:numId w:val="3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Ask your teacher to explain the significance of these observations before you answer the questions.</w:t>
                  </w:r>
                </w:p>
                <w:p w:rsidR="00752A8B" w:rsidRPr="006E5276" w:rsidRDefault="00752A8B" w:rsidP="006E5276">
                  <w:pPr>
                    <w:spacing w:before="40" w:after="40"/>
                    <w:ind w:left="72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in;margin-top:42.4pt;width:270pt;height:207pt;z-index:251655680" strokecolor="#969696" strokeweight="1pt">
            <v:textbox style="mso-next-textbox:#_x0000_s1071">
              <w:txbxContent>
                <w:p w:rsidR="00752A8B" w:rsidRPr="006E5276" w:rsidRDefault="00752A8B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752A8B" w:rsidRDefault="002B5FD8" w:rsidP="002B5FD8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Group 1 and 2 solid chlorides, sulphates and nitrates</w:t>
                  </w:r>
                </w:p>
                <w:p w:rsidR="002B5FD8" w:rsidRDefault="002B5FD8" w:rsidP="002B5FD8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Salts dissolved in alcohol in </w:t>
                  </w:r>
                  <w:proofErr w:type="spellStart"/>
                  <w:r>
                    <w:rPr>
                      <w:rFonts w:ascii="Arial" w:hAnsi="Arial" w:cs="Arial"/>
                    </w:rPr>
                    <w:t>squeezy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bottles</w:t>
                  </w:r>
                </w:p>
                <w:p w:rsidR="002B5FD8" w:rsidRDefault="002B5FD8" w:rsidP="002B5FD8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Splints</w:t>
                  </w:r>
                </w:p>
                <w:p w:rsidR="002B5FD8" w:rsidRDefault="002B5FD8" w:rsidP="002B5FD8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Watch glasses</w:t>
                  </w:r>
                </w:p>
                <w:p w:rsidR="002B5FD8" w:rsidRDefault="002B5FD8" w:rsidP="002B5FD8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Spatulas</w:t>
                  </w:r>
                </w:p>
                <w:p w:rsidR="002B5FD8" w:rsidRDefault="002B5FD8" w:rsidP="002B5FD8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Discharge tubes</w:t>
                  </w:r>
                </w:p>
                <w:p w:rsidR="002B5FD8" w:rsidRPr="006E5276" w:rsidRDefault="002B5FD8" w:rsidP="002B5FD8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6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spectroscopes</w:t>
                  </w:r>
                </w:p>
                <w:p w:rsidR="00752A8B" w:rsidRPr="006E5276" w:rsidRDefault="00752A8B" w:rsidP="006E5276">
                  <w:pPr>
                    <w:spacing w:before="40" w:after="40"/>
                    <w:ind w:left="360" w:hanging="36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1in;margin-top:42.4pt;width:279pt;height:1in;z-index:251654656" strokecolor="#969696" strokeweight="1pt">
            <v:textbox style="mso-next-textbox:#_x0000_s1070">
              <w:txbxContent>
                <w:p w:rsidR="00752A8B" w:rsidRPr="006E5276" w:rsidRDefault="00752A8B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Objective</w:t>
                  </w:r>
                  <w:r w:rsidRPr="006E5276">
                    <w:rPr>
                      <w:rFonts w:ascii="Arial" w:hAnsi="Arial" w:cs="Arial"/>
                      <w:b/>
                    </w:rPr>
                    <w:tab/>
                  </w:r>
                  <w:r w:rsidRPr="006E5276">
                    <w:rPr>
                      <w:rFonts w:ascii="Arial" w:hAnsi="Arial" w:cs="Arial"/>
                      <w:b/>
                    </w:rPr>
                    <w:tab/>
                  </w:r>
                  <w:r w:rsidRPr="006E5276">
                    <w:rPr>
                      <w:rFonts w:ascii="Arial" w:hAnsi="Arial" w:cs="Arial"/>
                      <w:b/>
                    </w:rPr>
                    <w:tab/>
                  </w:r>
                  <w:r w:rsidRPr="006E5276">
                    <w:rPr>
                      <w:rFonts w:ascii="Arial" w:hAnsi="Arial" w:cs="Arial"/>
                      <w:b/>
                    </w:rPr>
                    <w:tab/>
                  </w:r>
                </w:p>
                <w:p w:rsidR="00752A8B" w:rsidRPr="00D620D7" w:rsidRDefault="002B5FD8" w:rsidP="00D620D7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 understand the complexity of the movement of electrons in atoms</w:t>
                  </w:r>
                </w:p>
                <w:p w:rsidR="00752A8B" w:rsidRPr="006E5276" w:rsidRDefault="00752A8B" w:rsidP="006E5276">
                  <w:pPr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1in;margin-top:123.4pt;width:180pt;height:126pt;z-index:251656704" strokecolor="#969696" strokeweight="1pt">
            <v:textbox style="mso-next-textbox:#_x0000_s1072">
              <w:txbxContent>
                <w:p w:rsidR="00752A8B" w:rsidRPr="006E5276" w:rsidRDefault="00752A8B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752A8B" w:rsidRPr="002B5FD8" w:rsidRDefault="00752A8B" w:rsidP="002B5FD8">
                  <w:pPr>
                    <w:numPr>
                      <w:ilvl w:val="0"/>
                      <w:numId w:val="2"/>
                    </w:numPr>
                    <w:tabs>
                      <w:tab w:val="clear" w:pos="2160"/>
                      <w:tab w:val="num" w:pos="360"/>
                    </w:tabs>
                    <w:spacing w:before="40" w:after="40"/>
                    <w:ind w:left="0" w:firstLine="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</w:rPr>
                    <w:t>Wear</w:t>
                  </w:r>
                  <w:r w:rsidR="00D85BA5">
                    <w:rPr>
                      <w:rFonts w:ascii="Arial" w:hAnsi="Arial" w:cs="Arial"/>
                    </w:rPr>
                    <w:t xml:space="preserve"> safety glasses.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08pt;margin-top:123.4pt;width:99pt;height:126pt;z-index:251657728" strokecolor="#969696" strokeweight="1pt">
            <v:textbox style="mso-next-textbox:#_x0000_s1073">
              <w:txbxContent>
                <w:p w:rsidR="00752A8B" w:rsidRDefault="00752A8B" w:rsidP="00752A8B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973ED6">
                    <w:rPr>
                      <w:rFonts w:ascii="Arial" w:hAnsi="Arial" w:cs="Arial"/>
                    </w:rPr>
                    <w:object w:dxaOrig="1290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3.5pt;height:40.5pt" o:ole="">
                        <v:imagedata r:id="rId7" o:title=""/>
                      </v:shape>
                      <o:OLEObject Type="Embed" ProgID="PBrush" ShapeID="_x0000_i1026" DrawAspect="Content" ObjectID="_1314005391" r:id="rId8"/>
                    </w:object>
                  </w:r>
                </w:p>
                <w:p w:rsidR="00752A8B" w:rsidRDefault="00752A8B" w:rsidP="00752A8B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</w:rPr>
                    <w:t>Harmful</w:t>
                  </w:r>
                </w:p>
                <w:p w:rsidR="00752A8B" w:rsidRDefault="00752A8B" w:rsidP="001B76AC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973ED6">
                    <w:rPr>
                      <w:rFonts w:ascii="Arial" w:hAnsi="Arial" w:cs="Arial"/>
                    </w:rPr>
                    <w:object w:dxaOrig="1290" w:dyaOrig="1200">
                      <v:shape id="_x0000_i1028" type="#_x0000_t75" style="width:43.5pt;height:40.5pt" o:ole="">
                        <v:imagedata r:id="rId7" o:title=""/>
                      </v:shape>
                      <o:OLEObject Type="Embed" ProgID="PBrush" ShapeID="_x0000_i1028" DrawAspect="Content" ObjectID="_1314005392" r:id="rId9"/>
                    </w:object>
                  </w:r>
                </w:p>
                <w:p w:rsidR="00752A8B" w:rsidRDefault="00752A8B" w:rsidP="001B76AC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</w:rPr>
                    <w:t>Harmful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-1in;margin-top:258.4pt;width:279pt;height:342pt;z-index:251658752" strokecolor="#969696" strokeweight="1pt">
            <v:textbox style="mso-next-textbox:#_x0000_s1074">
              <w:txbxContent>
                <w:p w:rsidR="00752A8B" w:rsidRPr="006E5276" w:rsidRDefault="00752A8B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Procedure</w:t>
                  </w:r>
                </w:p>
                <w:p w:rsidR="002B5FD8" w:rsidRDefault="002B5FD8" w:rsidP="002B5FD8">
                  <w:pPr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 a small amount of compound onto a watch glass.</w:t>
                  </w:r>
                </w:p>
                <w:p w:rsidR="00CA6393" w:rsidRDefault="002B5FD8" w:rsidP="002B5FD8">
                  <w:pPr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Wet the end of a splint in a beaker of water.</w:t>
                  </w:r>
                </w:p>
                <w:p w:rsidR="002B5FD8" w:rsidRDefault="002B5FD8" w:rsidP="002B5FD8">
                  <w:pPr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Dip the splint into the compound then into the edge of a Bunsen flame with the air hole half open (DO NOT BURN THE SPLINT)</w:t>
                  </w:r>
                </w:p>
                <w:p w:rsidR="002B5FD8" w:rsidRDefault="002B5FD8" w:rsidP="002B5FD8">
                  <w:pPr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 the colour of the flame in a table.</w:t>
                  </w:r>
                </w:p>
                <w:p w:rsidR="002B5FD8" w:rsidRDefault="002B5FD8" w:rsidP="002B5FD8">
                  <w:pPr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Repeat the experiment above looking at the flame through a spectroscope.</w:t>
                  </w:r>
                </w:p>
                <w:p w:rsidR="002B5FD8" w:rsidRDefault="002B5FD8" w:rsidP="002B5FD8">
                  <w:pPr>
                    <w:numPr>
                      <w:ilvl w:val="0"/>
                      <w:numId w:val="2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 the colours you see and approximately how many lines</w:t>
                  </w:r>
                  <w:r w:rsidR="00DC54C0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-1in;margin-top:609.4pt;width:558pt;height:108pt;z-index:251662848" strokecolor="#969696" strokeweight="1pt">
            <v:textbox style="mso-next-textbox:#_x0000_s1078">
              <w:txbxContent>
                <w:p w:rsidR="00752A8B" w:rsidRPr="006E5276" w:rsidRDefault="00752A8B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6E5276">
                    <w:rPr>
                      <w:rFonts w:ascii="Arial" w:hAnsi="Arial" w:cs="Arial"/>
                      <w:b/>
                    </w:rPr>
                    <w:t>Questions</w:t>
                  </w:r>
                </w:p>
                <w:p w:rsidR="00DC54C0" w:rsidRDefault="00DC54C0" w:rsidP="00083454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happens to the electrons in the atoms when they are heated in the Bunsen burner?</w:t>
                  </w:r>
                </w:p>
                <w:p w:rsidR="00083454" w:rsidRDefault="00DC54C0" w:rsidP="00083454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Where does the light energy being emitted come from?</w:t>
                  </w:r>
                </w:p>
                <w:p w:rsidR="00CA6393" w:rsidRDefault="00DC54C0" w:rsidP="00CA6393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Explain how the colour you observed is made up.</w:t>
                  </w:r>
                </w:p>
                <w:p w:rsidR="00DC54C0" w:rsidRPr="006E5276" w:rsidRDefault="00DC54C0" w:rsidP="00CA6393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How far away from the atom’s nucleus will electrons fall back to?  What do we say has happened to those excited further than this point?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3in;margin-top:465.4pt;width:270pt;height:135pt;z-index:251661824" strokecolor="#969696" strokeweight="1pt">
            <v:textbox>
              <w:txbxContent>
                <w:p w:rsidR="00752A8B" w:rsidRPr="006E5276" w:rsidRDefault="00752A8B" w:rsidP="006E527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6E5276">
                    <w:rPr>
                      <w:rFonts w:ascii="Arial" w:hAnsi="Arial" w:cs="Arial"/>
                      <w:b/>
                    </w:rPr>
                    <w:t>From the examiner…</w:t>
                  </w:r>
                  <w:proofErr w:type="gramEnd"/>
                  <w:r w:rsidRPr="006E52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752A8B" w:rsidRPr="006E5276" w:rsidRDefault="00752A8B" w:rsidP="006E527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C821FC" w:rsidSect="00647E0D">
      <w:headerReference w:type="default" r:id="rId10"/>
      <w:footerReference w:type="default" r:id="rId11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B50" w:rsidRDefault="001D7B50">
      <w:r>
        <w:separator/>
      </w:r>
    </w:p>
  </w:endnote>
  <w:endnote w:type="continuationSeparator" w:id="1">
    <w:p w:rsidR="001D7B50" w:rsidRDefault="001D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8B" w:rsidRDefault="00C57D05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251658752" filled="f" stroked="f">
          <v:textbox>
            <w:txbxContent>
              <w:p w:rsidR="00752A8B" w:rsidRPr="001107FD" w:rsidRDefault="00752A8B" w:rsidP="00201A7F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752A8B" w:rsidRPr="001107FD" w:rsidRDefault="00752A8B" w:rsidP="00201A7F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251656704" filled="f" stroked="f">
          <v:textbox>
            <w:txbxContent>
              <w:p w:rsidR="00752A8B" w:rsidRPr="008523FE" w:rsidRDefault="00752A8B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2/30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51657728" filled="f" stroked="f">
          <v:textbox>
            <w:txbxContent>
              <w:p w:rsidR="00752A8B" w:rsidRPr="00E621DC" w:rsidRDefault="00752A8B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</w:t>
                </w:r>
                <w:r w:rsidRPr="00E621DC">
                  <w:rPr>
                    <w:rFonts w:ascii="Verdana" w:hAnsi="Verdana"/>
                    <w:sz w:val="12"/>
                    <w:szCs w:val="12"/>
                  </w:rPr>
                  <w:t xml:space="preserve"> Ltd 2008</w:t>
                </w:r>
              </w:p>
              <w:p w:rsidR="00752A8B" w:rsidRPr="00E621DC" w:rsidRDefault="00752A8B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752A8B" w:rsidRPr="00585FEB" w:rsidRDefault="00752A8B" w:rsidP="008523FE"/>
            </w:txbxContent>
          </v:textbox>
        </v:shape>
      </w:pict>
    </w:r>
    <w:r w:rsidR="00752A8B">
      <w:rPr>
        <w:noProof/>
      </w:rPr>
      <w:drawing>
        <wp:inline distT="0" distB="0" distL="0" distR="0">
          <wp:extent cx="7315200" cy="333375"/>
          <wp:effectExtent l="19050" t="0" r="0" b="0"/>
          <wp:docPr id="3" name="Picture 3" descr="teachercd_biology_doc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achercd_biology_doctem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B50" w:rsidRDefault="001D7B50">
      <w:r>
        <w:separator/>
      </w:r>
    </w:p>
  </w:footnote>
  <w:footnote w:type="continuationSeparator" w:id="1">
    <w:p w:rsidR="001D7B50" w:rsidRDefault="001D7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8B" w:rsidRDefault="00752A8B" w:rsidP="00640DFA">
    <w:pPr>
      <w:pStyle w:val="Header"/>
      <w:ind w:hanging="1620"/>
    </w:pPr>
    <w:r>
      <w:rPr>
        <w:noProof/>
      </w:rPr>
      <w:drawing>
        <wp:inline distT="0" distB="0" distL="0" distR="0">
          <wp:extent cx="7200900" cy="685800"/>
          <wp:effectExtent l="19050" t="0" r="0" b="0"/>
          <wp:docPr id="1" name="Picture 1" descr="teachercd_chemistry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chercd_chemistry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905"/>
    <w:multiLevelType w:val="hybridMultilevel"/>
    <w:tmpl w:val="8DF8E5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C4CF6"/>
    <w:multiLevelType w:val="hybridMultilevel"/>
    <w:tmpl w:val="A3AA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F5C35"/>
    <w:multiLevelType w:val="hybridMultilevel"/>
    <w:tmpl w:val="6B8A0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00F72"/>
    <w:multiLevelType w:val="hybridMultilevel"/>
    <w:tmpl w:val="9C108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F1EAE"/>
    <w:multiLevelType w:val="hybridMultilevel"/>
    <w:tmpl w:val="86887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E1842"/>
    <w:multiLevelType w:val="hybridMultilevel"/>
    <w:tmpl w:val="32AA2690"/>
    <w:lvl w:ilvl="0" w:tplc="C05E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46CD1"/>
    <w:multiLevelType w:val="hybridMultilevel"/>
    <w:tmpl w:val="AB881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D4C91"/>
    <w:multiLevelType w:val="multilevel"/>
    <w:tmpl w:val="984E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B4D9C"/>
    <w:multiLevelType w:val="hybridMultilevel"/>
    <w:tmpl w:val="7C80C49C"/>
    <w:lvl w:ilvl="0" w:tplc="07FE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D4C2C"/>
    <w:multiLevelType w:val="hybridMultilevel"/>
    <w:tmpl w:val="3844D924"/>
    <w:lvl w:ilvl="0" w:tplc="C8B2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95E02"/>
    <w:multiLevelType w:val="multilevel"/>
    <w:tmpl w:val="60B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E0FA3"/>
    <w:multiLevelType w:val="hybridMultilevel"/>
    <w:tmpl w:val="A05C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676FF"/>
    <w:multiLevelType w:val="hybridMultilevel"/>
    <w:tmpl w:val="5330F01C"/>
    <w:lvl w:ilvl="0" w:tplc="E282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B3DC6"/>
    <w:multiLevelType w:val="hybridMultilevel"/>
    <w:tmpl w:val="3D4E3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D1596"/>
    <w:multiLevelType w:val="hybridMultilevel"/>
    <w:tmpl w:val="943A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D58AA"/>
    <w:multiLevelType w:val="hybridMultilevel"/>
    <w:tmpl w:val="F1DAD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21738"/>
    <w:multiLevelType w:val="hybridMultilevel"/>
    <w:tmpl w:val="C36C9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447E9"/>
    <w:multiLevelType w:val="hybridMultilevel"/>
    <w:tmpl w:val="E4682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8B7417"/>
    <w:multiLevelType w:val="hybridMultilevel"/>
    <w:tmpl w:val="B2BAF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253B4"/>
    <w:multiLevelType w:val="hybridMultilevel"/>
    <w:tmpl w:val="B92EB8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E1467"/>
    <w:multiLevelType w:val="hybridMultilevel"/>
    <w:tmpl w:val="D4EE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26F10"/>
    <w:multiLevelType w:val="hybridMultilevel"/>
    <w:tmpl w:val="CC2A1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A67BD"/>
    <w:multiLevelType w:val="hybridMultilevel"/>
    <w:tmpl w:val="496C42C0"/>
    <w:lvl w:ilvl="0" w:tplc="40DED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A3856D0"/>
    <w:multiLevelType w:val="hybridMultilevel"/>
    <w:tmpl w:val="42426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96587B"/>
    <w:multiLevelType w:val="hybridMultilevel"/>
    <w:tmpl w:val="548E6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30A2E"/>
    <w:multiLevelType w:val="hybridMultilevel"/>
    <w:tmpl w:val="8A0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8D009E"/>
    <w:multiLevelType w:val="hybridMultilevel"/>
    <w:tmpl w:val="A3AEFC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E2496F"/>
    <w:multiLevelType w:val="hybridMultilevel"/>
    <w:tmpl w:val="4FE0B596"/>
    <w:lvl w:ilvl="0" w:tplc="DFF8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225719"/>
    <w:multiLevelType w:val="hybridMultilevel"/>
    <w:tmpl w:val="84F8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00509"/>
    <w:multiLevelType w:val="hybridMultilevel"/>
    <w:tmpl w:val="32AA2690"/>
    <w:lvl w:ilvl="0" w:tplc="C05E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1A2233"/>
    <w:multiLevelType w:val="hybridMultilevel"/>
    <w:tmpl w:val="F484E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A45065"/>
    <w:multiLevelType w:val="hybridMultilevel"/>
    <w:tmpl w:val="D3423EC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77507B9F"/>
    <w:multiLevelType w:val="hybridMultilevel"/>
    <w:tmpl w:val="9BA48C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B831F83"/>
    <w:multiLevelType w:val="hybridMultilevel"/>
    <w:tmpl w:val="2DC68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6"/>
  </w:num>
  <w:num w:numId="4">
    <w:abstractNumId w:val="12"/>
  </w:num>
  <w:num w:numId="5">
    <w:abstractNumId w:val="8"/>
  </w:num>
  <w:num w:numId="6">
    <w:abstractNumId w:val="16"/>
  </w:num>
  <w:num w:numId="7">
    <w:abstractNumId w:val="24"/>
  </w:num>
  <w:num w:numId="8">
    <w:abstractNumId w:val="13"/>
  </w:num>
  <w:num w:numId="9">
    <w:abstractNumId w:val="15"/>
  </w:num>
  <w:num w:numId="10">
    <w:abstractNumId w:val="28"/>
  </w:num>
  <w:num w:numId="11">
    <w:abstractNumId w:val="1"/>
  </w:num>
  <w:num w:numId="12">
    <w:abstractNumId w:val="4"/>
  </w:num>
  <w:num w:numId="13">
    <w:abstractNumId w:val="11"/>
  </w:num>
  <w:num w:numId="14">
    <w:abstractNumId w:val="23"/>
  </w:num>
  <w:num w:numId="15">
    <w:abstractNumId w:val="20"/>
  </w:num>
  <w:num w:numId="16">
    <w:abstractNumId w:val="9"/>
  </w:num>
  <w:num w:numId="17">
    <w:abstractNumId w:val="30"/>
  </w:num>
  <w:num w:numId="18">
    <w:abstractNumId w:val="25"/>
  </w:num>
  <w:num w:numId="19">
    <w:abstractNumId w:val="33"/>
  </w:num>
  <w:num w:numId="20">
    <w:abstractNumId w:val="3"/>
  </w:num>
  <w:num w:numId="21">
    <w:abstractNumId w:val="32"/>
  </w:num>
  <w:num w:numId="22">
    <w:abstractNumId w:val="22"/>
  </w:num>
  <w:num w:numId="23">
    <w:abstractNumId w:val="21"/>
  </w:num>
  <w:num w:numId="24">
    <w:abstractNumId w:val="27"/>
  </w:num>
  <w:num w:numId="25">
    <w:abstractNumId w:val="6"/>
  </w:num>
  <w:num w:numId="26">
    <w:abstractNumId w:val="17"/>
  </w:num>
  <w:num w:numId="27">
    <w:abstractNumId w:val="0"/>
  </w:num>
  <w:num w:numId="28">
    <w:abstractNumId w:val="5"/>
  </w:num>
  <w:num w:numId="29">
    <w:abstractNumId w:val="7"/>
  </w:num>
  <w:num w:numId="30">
    <w:abstractNumId w:val="19"/>
  </w:num>
  <w:num w:numId="31">
    <w:abstractNumId w:val="10"/>
  </w:num>
  <w:num w:numId="32">
    <w:abstractNumId w:val="14"/>
  </w:num>
  <w:num w:numId="33">
    <w:abstractNumId w:val="29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1FC"/>
    <w:rsid w:val="00055342"/>
    <w:rsid w:val="00063F22"/>
    <w:rsid w:val="00072B8B"/>
    <w:rsid w:val="00083454"/>
    <w:rsid w:val="00093DC3"/>
    <w:rsid w:val="000C5820"/>
    <w:rsid w:val="000C5FE6"/>
    <w:rsid w:val="000D1534"/>
    <w:rsid w:val="00103B0E"/>
    <w:rsid w:val="0011293C"/>
    <w:rsid w:val="001459AF"/>
    <w:rsid w:val="00155BC2"/>
    <w:rsid w:val="00191D79"/>
    <w:rsid w:val="001A018E"/>
    <w:rsid w:val="001B76AC"/>
    <w:rsid w:val="001D3232"/>
    <w:rsid w:val="001D7B50"/>
    <w:rsid w:val="001E4739"/>
    <w:rsid w:val="00201A7F"/>
    <w:rsid w:val="002711C2"/>
    <w:rsid w:val="00294C1A"/>
    <w:rsid w:val="002A36EB"/>
    <w:rsid w:val="002B3919"/>
    <w:rsid w:val="002B5B6D"/>
    <w:rsid w:val="002B5FD8"/>
    <w:rsid w:val="002C3336"/>
    <w:rsid w:val="002C61BE"/>
    <w:rsid w:val="002C6FDF"/>
    <w:rsid w:val="002E3D8E"/>
    <w:rsid w:val="002F13EC"/>
    <w:rsid w:val="002F33F1"/>
    <w:rsid w:val="002F5995"/>
    <w:rsid w:val="00313967"/>
    <w:rsid w:val="00352428"/>
    <w:rsid w:val="00392965"/>
    <w:rsid w:val="0039379F"/>
    <w:rsid w:val="00396DB4"/>
    <w:rsid w:val="003C0ADC"/>
    <w:rsid w:val="003E368B"/>
    <w:rsid w:val="003E4711"/>
    <w:rsid w:val="003F7C29"/>
    <w:rsid w:val="004140E6"/>
    <w:rsid w:val="00447D2C"/>
    <w:rsid w:val="00451DF4"/>
    <w:rsid w:val="004642C2"/>
    <w:rsid w:val="00475154"/>
    <w:rsid w:val="00477AD9"/>
    <w:rsid w:val="004924CB"/>
    <w:rsid w:val="004A57D1"/>
    <w:rsid w:val="004F3630"/>
    <w:rsid w:val="004F566E"/>
    <w:rsid w:val="00510EB1"/>
    <w:rsid w:val="0057509E"/>
    <w:rsid w:val="00586E83"/>
    <w:rsid w:val="00596A34"/>
    <w:rsid w:val="005A1DE1"/>
    <w:rsid w:val="005C029D"/>
    <w:rsid w:val="005C115A"/>
    <w:rsid w:val="005C4D2B"/>
    <w:rsid w:val="006215DD"/>
    <w:rsid w:val="00627721"/>
    <w:rsid w:val="00640DFA"/>
    <w:rsid w:val="00647E0D"/>
    <w:rsid w:val="00657B4E"/>
    <w:rsid w:val="006622F9"/>
    <w:rsid w:val="00672FE7"/>
    <w:rsid w:val="006A0346"/>
    <w:rsid w:val="006E24A5"/>
    <w:rsid w:val="006E5276"/>
    <w:rsid w:val="00707611"/>
    <w:rsid w:val="00752A8B"/>
    <w:rsid w:val="00755046"/>
    <w:rsid w:val="007A5DD1"/>
    <w:rsid w:val="007A7847"/>
    <w:rsid w:val="007C01DC"/>
    <w:rsid w:val="00800B40"/>
    <w:rsid w:val="00805D40"/>
    <w:rsid w:val="008072F6"/>
    <w:rsid w:val="00836843"/>
    <w:rsid w:val="00844853"/>
    <w:rsid w:val="008523FE"/>
    <w:rsid w:val="00882CA8"/>
    <w:rsid w:val="00890F1C"/>
    <w:rsid w:val="00896CDD"/>
    <w:rsid w:val="008A5BDF"/>
    <w:rsid w:val="008C2542"/>
    <w:rsid w:val="008C508E"/>
    <w:rsid w:val="008E1C3B"/>
    <w:rsid w:val="008F3261"/>
    <w:rsid w:val="008F3D1D"/>
    <w:rsid w:val="00952176"/>
    <w:rsid w:val="009545DA"/>
    <w:rsid w:val="009605C3"/>
    <w:rsid w:val="0098215E"/>
    <w:rsid w:val="009F4E53"/>
    <w:rsid w:val="00A41CEE"/>
    <w:rsid w:val="00A5534B"/>
    <w:rsid w:val="00A6137E"/>
    <w:rsid w:val="00A9603A"/>
    <w:rsid w:val="00B11A8C"/>
    <w:rsid w:val="00B2060D"/>
    <w:rsid w:val="00B215E4"/>
    <w:rsid w:val="00B44EBC"/>
    <w:rsid w:val="00B5432C"/>
    <w:rsid w:val="00BA1139"/>
    <w:rsid w:val="00BA2861"/>
    <w:rsid w:val="00BA439F"/>
    <w:rsid w:val="00BA7DCC"/>
    <w:rsid w:val="00BE11CB"/>
    <w:rsid w:val="00C43123"/>
    <w:rsid w:val="00C45AB6"/>
    <w:rsid w:val="00C57D05"/>
    <w:rsid w:val="00C821FC"/>
    <w:rsid w:val="00C851BD"/>
    <w:rsid w:val="00C871A6"/>
    <w:rsid w:val="00CA6393"/>
    <w:rsid w:val="00CC4CBA"/>
    <w:rsid w:val="00CC4DD9"/>
    <w:rsid w:val="00CD4E64"/>
    <w:rsid w:val="00CF165E"/>
    <w:rsid w:val="00CF2A2A"/>
    <w:rsid w:val="00CF5CFC"/>
    <w:rsid w:val="00D06167"/>
    <w:rsid w:val="00D1270C"/>
    <w:rsid w:val="00D233CA"/>
    <w:rsid w:val="00D45001"/>
    <w:rsid w:val="00D620D7"/>
    <w:rsid w:val="00D70609"/>
    <w:rsid w:val="00D85779"/>
    <w:rsid w:val="00D85BA5"/>
    <w:rsid w:val="00D865D9"/>
    <w:rsid w:val="00D90956"/>
    <w:rsid w:val="00D97888"/>
    <w:rsid w:val="00DC54C0"/>
    <w:rsid w:val="00DE0825"/>
    <w:rsid w:val="00DE6C9E"/>
    <w:rsid w:val="00E15F53"/>
    <w:rsid w:val="00E16713"/>
    <w:rsid w:val="00E3098C"/>
    <w:rsid w:val="00E32AE6"/>
    <w:rsid w:val="00E7172F"/>
    <w:rsid w:val="00E84ADE"/>
    <w:rsid w:val="00E85AFE"/>
    <w:rsid w:val="00E927BA"/>
    <w:rsid w:val="00EC01DA"/>
    <w:rsid w:val="00EC3E8F"/>
    <w:rsid w:val="00EE0124"/>
    <w:rsid w:val="00EE66EF"/>
    <w:rsid w:val="00EF25EF"/>
    <w:rsid w:val="00EF3D4E"/>
    <w:rsid w:val="00F049C8"/>
    <w:rsid w:val="00F250D6"/>
    <w:rsid w:val="00F45D1A"/>
    <w:rsid w:val="00F70358"/>
    <w:rsid w:val="00F7373E"/>
    <w:rsid w:val="00F96487"/>
    <w:rsid w:val="00FA3841"/>
    <w:rsid w:val="00FA7BB0"/>
    <w:rsid w:val="00FB7DFD"/>
    <w:rsid w:val="00FC471E"/>
    <w:rsid w:val="00FE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3CA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Horsforth School</cp:lastModifiedBy>
  <cp:revision>8</cp:revision>
  <cp:lastPrinted>2007-11-01T13:57:00Z</cp:lastPrinted>
  <dcterms:created xsi:type="dcterms:W3CDTF">2008-06-27T11:11:00Z</dcterms:created>
  <dcterms:modified xsi:type="dcterms:W3CDTF">2009-09-09T11:43:00Z</dcterms:modified>
</cp:coreProperties>
</file>